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Brandy, Dakota, Nicholas</w:t>
      </w:r>
    </w:p>
    <w:p w:rsidR="00000000" w:rsidDel="00000000" w:rsidP="00000000" w:rsidRDefault="00000000" w:rsidRPr="00000000" w14:paraId="00000002">
      <w:pPr>
        <w:spacing w:line="259"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59"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2"/>
        </w:numPr>
        <w:spacing w:line="259"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make evidence-based decisions regarding instructional improvement, including changes in practice, by analyzing, evaluating, and using various types of data to engage staff in advancing instructional effectiveness.</w:t>
      </w:r>
    </w:p>
    <w:p w:rsidR="00000000" w:rsidDel="00000000" w:rsidP="00000000" w:rsidRDefault="00000000" w:rsidRPr="00000000" w14:paraId="00000005">
      <w:pPr>
        <w:spacing w:line="259" w:lineRule="auto"/>
        <w:ind w:left="32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Data-based decision-making for school improvement: Research insights and gaps”</w:t>
      </w:r>
      <w:r w:rsidDel="00000000" w:rsidR="00000000" w:rsidRPr="00000000">
        <w:rPr>
          <w:rtl w:val="0"/>
        </w:rPr>
      </w:r>
    </w:p>
    <w:p w:rsidR="00000000" w:rsidDel="00000000" w:rsidP="00000000" w:rsidRDefault="00000000" w:rsidRPr="00000000" w14:paraId="00000007">
      <w:pPr>
        <w:spacing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Steps: </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https://www.tandfonline.com/doi/full/10.1080/00131881.2019.1625716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numPr>
          <w:ilvl w:val="0"/>
          <w:numId w:val="1"/>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Collect Data</w:t>
      </w:r>
      <w:r w:rsidDel="00000000" w:rsidR="00000000" w:rsidRPr="00000000">
        <w:rPr>
          <w:rFonts w:ascii="Times New Roman" w:cs="Times New Roman" w:eastAsia="Times New Roman" w:hAnsi="Times New Roman"/>
          <w:sz w:val="24"/>
          <w:szCs w:val="24"/>
          <w:rtl w:val="0"/>
        </w:rPr>
        <w:t xml:space="preserve">- Use data to determine the cause of a problem, before taking improvement actions. Questions: How can the collected data </w:t>
      </w:r>
      <w:r w:rsidDel="00000000" w:rsidR="00000000" w:rsidRPr="00000000">
        <w:rPr>
          <w:rFonts w:ascii="Times New Roman" w:cs="Times New Roman" w:eastAsia="Times New Roman" w:hAnsi="Times New Roman"/>
          <w:sz w:val="24"/>
          <w:szCs w:val="24"/>
          <w:rtl w:val="0"/>
        </w:rPr>
        <w:t xml:space="preserve">be analyzed</w:t>
      </w:r>
      <w:r w:rsidDel="00000000" w:rsidR="00000000" w:rsidRPr="00000000">
        <w:rPr>
          <w:rFonts w:ascii="Times New Roman" w:cs="Times New Roman" w:eastAsia="Times New Roman" w:hAnsi="Times New Roman"/>
          <w:sz w:val="24"/>
          <w:szCs w:val="24"/>
          <w:rtl w:val="0"/>
        </w:rPr>
        <w:t xml:space="preserve"> and interpreted? What </w:t>
      </w:r>
      <w:r w:rsidDel="00000000" w:rsidR="00000000" w:rsidRPr="00000000">
        <w:rPr>
          <w:rFonts w:ascii="Times New Roman" w:cs="Times New Roman" w:eastAsia="Times New Roman" w:hAnsi="Times New Roman"/>
          <w:sz w:val="24"/>
          <w:szCs w:val="24"/>
          <w:rtl w:val="0"/>
        </w:rPr>
        <w:t xml:space="preserve">do the</w:t>
      </w:r>
      <w:r w:rsidDel="00000000" w:rsidR="00000000" w:rsidRPr="00000000">
        <w:rPr>
          <w:rFonts w:ascii="Times New Roman" w:cs="Times New Roman" w:eastAsia="Times New Roman" w:hAnsi="Times New Roman"/>
          <w:sz w:val="24"/>
          <w:szCs w:val="24"/>
          <w:rtl w:val="0"/>
        </w:rPr>
        <w:t xml:space="preserve"> data mean in relation to the goal? </w:t>
      </w:r>
      <w:r w:rsidDel="00000000" w:rsidR="00000000" w:rsidRPr="00000000">
        <w:rPr>
          <w:rFonts w:ascii="Times New Roman" w:cs="Times New Roman" w:eastAsia="Times New Roman" w:hAnsi="Times New Roman"/>
          <w:i w:val="1"/>
          <w:sz w:val="24"/>
          <w:szCs w:val="24"/>
          <w:rtl w:val="0"/>
        </w:rPr>
        <w:t xml:space="preserve">[DATA: ‘big data’, assessments, surveys, observations &amp; discussions (formal, informal, and schematic), community/local/place-based data, and educational research evidence.]</w:t>
      </w:r>
    </w:p>
    <w:p w:rsidR="00000000" w:rsidDel="00000000" w:rsidP="00000000" w:rsidRDefault="00000000" w:rsidRPr="00000000" w14:paraId="00000009">
      <w:pPr>
        <w:numPr>
          <w:ilvl w:val="0"/>
          <w:numId w:val="1"/>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Goal Setting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therefore, is placed at the top of the model. </w:t>
      </w:r>
      <w:r w:rsidDel="00000000" w:rsidR="00000000" w:rsidRPr="00000000">
        <w:rPr>
          <w:rFonts w:ascii="Times New Roman" w:cs="Times New Roman" w:eastAsia="Times New Roman" w:hAnsi="Times New Roman"/>
          <w:b w:val="1"/>
          <w:sz w:val="24"/>
          <w:szCs w:val="24"/>
          <w:rtl w:val="0"/>
        </w:rPr>
        <w:t xml:space="preserve">A key task for school leaders is to make sure that school improvement goals are collectively developed, and that there is dialogue about these goals with all stakeholders. {Three blocks of goals: accountability goals, school development goals, and instructional goals}</w:t>
      </w:r>
    </w:p>
    <w:p w:rsidR="00000000" w:rsidDel="00000000" w:rsidP="00000000" w:rsidRDefault="00000000" w:rsidRPr="00000000" w14:paraId="0000000A">
      <w:pPr>
        <w:spacing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300288" cy="231604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00288" cy="231604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numPr>
          <w:ilvl w:val="0"/>
          <w:numId w:val="1"/>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Sense-making</w:t>
      </w:r>
      <w:r w:rsidDel="00000000" w:rsidR="00000000" w:rsidRPr="00000000">
        <w:rPr>
          <w:rFonts w:ascii="Times New Roman" w:cs="Times New Roman" w:eastAsia="Times New Roman" w:hAnsi="Times New Roman"/>
          <w:sz w:val="24"/>
          <w:szCs w:val="24"/>
          <w:rtl w:val="0"/>
        </w:rPr>
        <w:t xml:space="preserve">- can lead to the implementation of concrete improvement actions, the outcomes of which subsequently need to be evaluated, based on data, to determine whether the previously set goals were achieved.</w:t>
      </w:r>
    </w:p>
    <w:p w:rsidR="00000000" w:rsidDel="00000000" w:rsidP="00000000" w:rsidRDefault="00000000" w:rsidRPr="00000000" w14:paraId="0000000C">
      <w:pPr>
        <w:numPr>
          <w:ilvl w:val="0"/>
          <w:numId w:val="1"/>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Students</w:t>
      </w:r>
      <w:r w:rsidDel="00000000" w:rsidR="00000000" w:rsidRPr="00000000">
        <w:rPr>
          <w:rFonts w:ascii="Times New Roman" w:cs="Times New Roman" w:eastAsia="Times New Roman" w:hAnsi="Times New Roman"/>
          <w:sz w:val="24"/>
          <w:szCs w:val="24"/>
          <w:rtl w:val="0"/>
        </w:rPr>
        <w:t xml:space="preserve"> are crucial stakeholders in the process of data use, and they can use data to actively steer and improve their own learning, by themselves, with their peers, and with their teachers. And provide different </w:t>
      </w:r>
      <w:r w:rsidDel="00000000" w:rsidR="00000000" w:rsidRPr="00000000">
        <w:rPr>
          <w:rFonts w:ascii="Times New Roman" w:cs="Times New Roman" w:eastAsia="Times New Roman" w:hAnsi="Times New Roman"/>
          <w:b w:val="1"/>
          <w:sz w:val="24"/>
          <w:szCs w:val="24"/>
          <w:rtl w:val="0"/>
        </w:rPr>
        <w:t xml:space="preserve">stakeholders</w:t>
      </w:r>
      <w:r w:rsidDel="00000000" w:rsidR="00000000" w:rsidRPr="00000000">
        <w:rPr>
          <w:rFonts w:ascii="Times New Roman" w:cs="Times New Roman" w:eastAsia="Times New Roman" w:hAnsi="Times New Roman"/>
          <w:sz w:val="24"/>
          <w:szCs w:val="24"/>
          <w:rtl w:val="0"/>
        </w:rPr>
        <w:t xml:space="preserve"> with practical examples of the data &amp; goals </w:t>
      </w:r>
    </w:p>
    <w:p w:rsidR="00000000" w:rsidDel="00000000" w:rsidP="00000000" w:rsidRDefault="00000000" w:rsidRPr="00000000" w14:paraId="0000000D">
      <w:pPr>
        <w:spacing w:line="259"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59" w:lineRule="auto"/>
        <w:ind w:left="32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Hoy &amp; Miskel</w:t>
      </w:r>
    </w:p>
    <w:p w:rsidR="00000000" w:rsidDel="00000000" w:rsidP="00000000" w:rsidRDefault="00000000" w:rsidRPr="00000000" w14:paraId="00000012">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1:</w:t>
      </w:r>
      <w:r w:rsidDel="00000000" w:rsidR="00000000" w:rsidRPr="00000000">
        <w:rPr>
          <w:rFonts w:ascii="Times New Roman" w:cs="Times New Roman" w:eastAsia="Times New Roman" w:hAnsi="Times New Roman"/>
          <w:sz w:val="24"/>
          <w:szCs w:val="24"/>
          <w:rtl w:val="0"/>
        </w:rPr>
        <w:t xml:space="preserve"> Recognize and Define the Problem or Issue</w:t>
      </w:r>
    </w:p>
    <w:p w:rsidR="00000000" w:rsidDel="00000000" w:rsidP="00000000" w:rsidRDefault="00000000" w:rsidRPr="00000000" w14:paraId="00000013">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2:</w:t>
      </w:r>
      <w:r w:rsidDel="00000000" w:rsidR="00000000" w:rsidRPr="00000000">
        <w:rPr>
          <w:rFonts w:ascii="Times New Roman" w:cs="Times New Roman" w:eastAsia="Times New Roman" w:hAnsi="Times New Roman"/>
          <w:sz w:val="24"/>
          <w:szCs w:val="24"/>
          <w:rtl w:val="0"/>
        </w:rPr>
        <w:t xml:space="preserve"> Analyze the Difficulties in Existing Situation</w:t>
      </w:r>
    </w:p>
    <w:p w:rsidR="00000000" w:rsidDel="00000000" w:rsidP="00000000" w:rsidRDefault="00000000" w:rsidRPr="00000000" w14:paraId="00000014">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3:</w:t>
      </w:r>
      <w:r w:rsidDel="00000000" w:rsidR="00000000" w:rsidRPr="00000000">
        <w:rPr>
          <w:rFonts w:ascii="Times New Roman" w:cs="Times New Roman" w:eastAsia="Times New Roman" w:hAnsi="Times New Roman"/>
          <w:sz w:val="24"/>
          <w:szCs w:val="24"/>
          <w:rtl w:val="0"/>
        </w:rPr>
        <w:t xml:space="preserve"> Establish Criteria for a Satisfactory Outcome</w:t>
      </w:r>
    </w:p>
    <w:p w:rsidR="00000000" w:rsidDel="00000000" w:rsidP="00000000" w:rsidRDefault="00000000" w:rsidRPr="00000000" w14:paraId="00000015">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4:</w:t>
      </w:r>
      <w:r w:rsidDel="00000000" w:rsidR="00000000" w:rsidRPr="00000000">
        <w:rPr>
          <w:rFonts w:ascii="Times New Roman" w:cs="Times New Roman" w:eastAsia="Times New Roman" w:hAnsi="Times New Roman"/>
          <w:sz w:val="24"/>
          <w:szCs w:val="24"/>
          <w:rtl w:val="0"/>
        </w:rPr>
        <w:t xml:space="preserve"> Develop an Action Plan or Strategy</w:t>
      </w:r>
    </w:p>
    <w:p w:rsidR="00000000" w:rsidDel="00000000" w:rsidP="00000000" w:rsidRDefault="00000000" w:rsidRPr="00000000" w14:paraId="00000016">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Step 5:</w:t>
      </w:r>
      <w:r w:rsidDel="00000000" w:rsidR="00000000" w:rsidRPr="00000000">
        <w:rPr>
          <w:rFonts w:ascii="Times New Roman" w:cs="Times New Roman" w:eastAsia="Times New Roman" w:hAnsi="Times New Roman"/>
          <w:sz w:val="24"/>
          <w:szCs w:val="24"/>
          <w:rtl w:val="0"/>
        </w:rPr>
        <w:t xml:space="preserve"> Initiate and evaluate your plan of action</w:t>
      </w:r>
    </w:p>
    <w:p w:rsidR="00000000" w:rsidDel="00000000" w:rsidP="00000000" w:rsidRDefault="00000000" w:rsidRPr="00000000" w14:paraId="00000017">
      <w:pPr>
        <w:spacing w:after="160" w:line="259"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160" w:line="259"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548063" cy="2817579"/>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548063" cy="2817579"/>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259"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59" w:lineRule="auto"/>
      <w:ind w:left="0" w:firstLine="0"/>
      <w:rPr>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andfonline.com/doi/full/10.1080/00131881.2019.1625716"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