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0" w:rsidP="00000000" w:rsidRPr="00000000">
      <w:pPr>
        <w:contextualSpacing w:val="0"/>
      </w:pPr>
      <w:r w:rsidR="00000000" w:rsidDel="00000000" w:rsidRPr="00000000">
        <w:rPr>
          <w:rtl w:val="0"/>
        </w:rPr>
        <w:t>Professional Learning Communities</w:t>
      </w:r>
    </w:p>
    <w:p w:rsidR="00000000" w:rsidDel="00000000" w:rsidRDefault="00000000" w14:paraId="00000001" w:rsidP="00000000" w:rsidRPr="00000000">
      <w:pPr>
        <w:contextualSpacing w:val="0"/>
      </w:pPr>
      <w:r w:rsidR="00000000" w:rsidDel="00000000" w:rsidRPr="00000000">
        <w:rPr>
          <w:rtl w:val="0"/>
        </w:rPr>
        <w:t>Part 2 of 3</w:t>
      </w:r>
    </w:p>
    <w:p w:rsidR="00000000" w:rsidDel="00000000" w:rsidRDefault="00000000" w14:paraId="00000002" w:rsidP="00000000" w:rsidRPr="00000000">
      <w:pPr>
        <w:contextualSpacing w:val="0"/>
        <w:rPr>
          <w:b/>
          <w:u w:val="single"/>
        </w:rPr>
      </w:pPr>
      <w:r w:rsidR="00000000" w:rsidDel="00000000" w:rsidRPr="00000000">
        <w:rPr>
          <w:rtl w:val="0"/>
          <w:b/>
          <w:u w:val="single"/>
        </w:rPr>
        <w:t>Collaborative Culture:</w:t>
      </w:r>
    </w:p>
    <w:p w:rsidR="00000000" w:rsidDel="00000000" w:rsidRDefault="00000000" w14:paraId="00000003" w:rsidP="00000000" w:rsidRPr="00000000">
      <w:pPr>
        <w:contextualSpacing w:val="0"/>
        <w:rPr>
          <w:b/>
          <w:i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contextualSpacing w:val="0"/>
      </w:pPr>
      <w:r w:rsidR="00000000" w:rsidDel="00000000" w:rsidRPr="00000000">
        <w:rPr>
          <w:rtl w:val="0"/>
          <w:b/>
          <w:i/>
        </w:rPr>
        <w:t>Overarching Idea:</w:t>
      </w:r>
      <w:r w:rsidR="00000000" w:rsidDel="00000000" w:rsidRPr="00000000">
        <w:rPr>
          <w:rtl w:val="0"/>
          <w:i/>
        </w:rPr>
        <w:t xml:space="preserve"> i</w:t>
      </w:r>
      <w:r w:rsidR="00000000" w:rsidDel="00000000" w:rsidRPr="00000000">
        <w:rPr>
          <w:rtl w:val="0"/>
          <w:i/>
        </w:rPr>
        <w:t>nstead of sharing data, they [teachers] respond to data, which requires a sense of mutual accountability and changing classroom practices.</w:t>
      </w:r>
      <w:r>
        <w:rPr>
          <w:color w:val="A61C00"/>
        </w:rPr>
        <w:br/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contextualSpacing w:val="0"/>
        <w:rPr>
          <w:b/>
        </w:rPr>
      </w:pPr>
      <w:r w:rsidR="00000000" w:rsidDel="00000000" w:rsidRPr="00000000">
        <w:rPr>
          <w:rtl w:val="0"/>
          <w:b/>
        </w:rPr>
        <w:t xml:space="preserve">6 Core Principles of PLCs: </w:t>
      </w:r>
      <w:r w:rsidR="00000000" w:rsidDel="00000000" w:rsidRPr="00000000">
        <w:rPr>
          <w:rtl w:val="0"/>
        </w:rPr>
        <w:t xml:space="preserve">Richard Dufour believes that to become a professional learning community you have to do all 6 of the core principles on a daily basis: 1. create a culture of collaboration, 2. have a shared mission, vision, and value, 3. have a collective desire to implement best practice, 4. have an action-orientation, 5. be focused on continuous improvement, 6. and focus on results. </w:t>
      </w:r>
      <w:r w:rsidR="00000000" w:rsidDel="00000000" w:rsidRPr="00000000">
        <w:rPr>
          <w:rtl w:val="0"/>
          <w:b/>
        </w:rPr>
        <w:t>“You must do them all.”</w:t>
      </w:r>
    </w:p>
    <w:p w:rsidR="00000000" w:rsidDel="00000000" w:rsidRDefault="00000000" w14:paraId="00000006" w:rsidP="00000000" w:rsidRPr="00000000">
      <w:pPr>
        <w:contextualSpacing w:val="0"/>
        <w:rPr>
          <w:highlight w:val="white"/>
          <w:rFonts w:ascii="Verdana" w:cs="Verdana" w:eastAsia="Verdana" w:hAnsi="Verdan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contextualSpacing w:val="0"/>
        <w:rPr>
          <w:highlight w:val="white"/>
        </w:rPr>
      </w:pPr>
      <w:r w:rsidR="00000000" w:rsidDel="00000000" w:rsidRPr="00000000">
        <w:rPr>
          <w:rtl w:val="0"/>
          <w:b/>
          <w:highlight w:val="white"/>
        </w:rPr>
        <w:t>Focus Question:</w:t>
      </w:r>
      <w:r w:rsidR="00000000" w:rsidDel="00000000" w:rsidRPr="00000000">
        <w:rPr>
          <w:rtl w:val="0"/>
          <w:highlight w:val="white"/>
        </w:rPr>
        <w:t xml:space="preserve"> What helps students learn at highest level?</w:t>
      </w:r>
    </w:p>
    <w:p w:rsidR="00000000" w:rsidDel="00000000" w:rsidRDefault="00000000" w14:paraId="00000008" w:rsidP="00000000" w:rsidRPr="00000000">
      <w:pPr>
        <w:contextualSpacing w:val="0"/>
        <w:rPr>
          <w:b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contextualSpacing w:val="0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 xml:space="preserve">Current PLC Issues: </w:t>
      </w:r>
    </w:p>
    <w:p w:rsidR="00000000" w:rsidDel="00000000" w:rsidRDefault="00000000" w14:paraId="0000000A" w:rsidP="00000000" w:rsidRPr="00000000">
      <w:pPr>
        <w:numPr>
          <w:ilvl w:val="0"/>
          <w:numId w:val="3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Issues at fundamental aspects of PLC process--- schools need to delve in at deeper level.</w:t>
      </w:r>
    </w:p>
    <w:p w:rsidR="00000000" w:rsidDel="00000000" w:rsidRDefault="00000000" w14:paraId="0000000B" w:rsidP="00000000" w:rsidRPr="00000000">
      <w:pPr>
        <w:numPr>
          <w:ilvl w:val="0"/>
          <w:numId w:val="3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highlight w:val="white"/>
        </w:rPr>
        <w:t>It has been superficial. Example: we will organize people into groups and give them time together--with no clear purpose or goal.</w:t>
      </w: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numPr>
          <w:ilvl w:val="0"/>
          <w:numId w:val="3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Teachers must stop saying: (abolish state testing, parents bring better kids, need better administrators) </w:t>
      </w:r>
    </w:p>
    <w:p w:rsidR="00000000" w:rsidDel="00000000" w:rsidRDefault="00000000" w14:paraId="0000000D" w:rsidP="00000000" w:rsidRPr="00000000">
      <w:pPr>
        <w:numPr>
          <w:ilvl w:val="0"/>
          <w:numId w:val="3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highlight w:val="white"/>
        </w:rPr>
        <w:t>WE need to change as a profession (as a collaborative teaching community) “Stop being passive and take some initiative”</w:t>
      </w:r>
    </w:p>
    <w:p w:rsidR="00000000" w:rsidDel="00000000" w:rsidRDefault="00000000" w14:paraId="0000000E" w:rsidP="00000000" w:rsidRPr="00000000">
      <w:pPr>
        <w:numPr>
          <w:ilvl w:val="0"/>
          <w:numId w:val="3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Shift toward: “Yesterday I was clever, so I wanted to change the world.. Today I am wise, so I am changing myself” -Rumi </w:t>
      </w:r>
      <w:r w:rsidR="00000000" w:rsidDel="00000000" w:rsidRPr="00000000">
        <w:rPr>
          <w:rtl w:val="0"/>
          <w:i/>
          <w:highlight w:val="white"/>
          <w:sz w:val="16"/>
          <w:szCs w:val="16"/>
        </w:rPr>
        <w:t>(The ecstatic poems of Jalal ad-Din Muhammad Rumi, a Persian poet and Sufi master born 807 years ago in 1207, have sold millions of copies in recent years, making him the most popular poet in the US.)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contextualSpacing w:val="0"/>
        <w:rPr>
          <w:b/>
          <w:u w:val="single"/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contextualSpacing w:val="0"/>
        <w:rPr>
          <w:b/>
          <w:u w:val="single"/>
          <w:highlight w:val="white"/>
        </w:rPr>
      </w:pPr>
      <w:r w:rsidR="00000000" w:rsidDel="00000000" w:rsidRPr="00000000">
        <w:rPr>
          <w:rtl w:val="0"/>
          <w:b/>
          <w:u w:val="single"/>
          <w:highlight w:val="white"/>
        </w:rPr>
        <w:t>Steps to an effective/productive PLC:</w:t>
      </w:r>
    </w:p>
    <w:p w:rsidR="00000000" w:rsidDel="00000000" w:rsidRDefault="00000000" w14:paraId="00000011" w:rsidP="00000000" w:rsidRPr="00000000">
      <w:pPr>
        <w:numPr>
          <w:ilvl w:val="0"/>
          <w:numId w:val="1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b/>
          <w:highlight w:val="white"/>
        </w:rPr>
        <w:t xml:space="preserve">Talk about Achievement: </w:t>
      </w:r>
      <w:r w:rsidR="00000000" w:rsidDel="00000000" w:rsidRPr="00000000">
        <w:rPr>
          <w:rtl w:val="0"/>
          <w:highlight w:val="white"/>
        </w:rPr>
        <w:t xml:space="preserve">The PLCs must come together and decide what their </w:t>
      </w:r>
      <w:r w:rsidR="00000000" w:rsidDel="00000000" w:rsidRPr="00000000">
        <w:rPr>
          <w:rtl w:val="0"/>
          <w:b/>
          <w:highlight w:val="white"/>
        </w:rPr>
        <w:t xml:space="preserve">core values/ beliefs </w:t>
      </w:r>
      <w:r w:rsidR="00000000" w:rsidDel="00000000" w:rsidRPr="00000000">
        <w:rPr>
          <w:rtl w:val="0"/>
          <w:highlight w:val="white"/>
        </w:rPr>
        <w:t xml:space="preserve">are and </w:t>
      </w:r>
      <w:r w:rsidR="00000000" w:rsidDel="00000000" w:rsidRPr="00000000">
        <w:rPr>
          <w:rtl w:val="0"/>
          <w:b/>
          <w:highlight w:val="white"/>
        </w:rPr>
        <w:t>what is the purpose of school/teaching?</w:t>
      </w: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numPr>
          <w:ilvl w:val="0"/>
          <w:numId w:val="1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b/>
          <w:u w:val="single"/>
          <w:highlight w:val="white"/>
        </w:rPr>
        <w:t>Purpose of school</w:t>
      </w:r>
      <w:r w:rsidR="00000000" w:rsidDel="00000000" w:rsidRPr="00000000">
        <w:rPr>
          <w:rtl w:val="0"/>
          <w:b/>
          <w:highlight w:val="white"/>
        </w:rPr>
        <w:t xml:space="preserve">: </w:t>
      </w:r>
      <w:r w:rsidR="00000000" w:rsidDel="00000000" w:rsidRPr="00000000">
        <w:rPr>
          <w:rtl w:val="0"/>
          <w:highlight w:val="white"/>
        </w:rPr>
        <w:t xml:space="preserve">prepare every student for continuous learning beyond K-12 system (must be lifelong learners) What do they need to be true lifelong learners? </w:t>
      </w:r>
    </w:p>
    <w:p w:rsidR="00000000" w:rsidDel="00000000" w:rsidRDefault="00000000" w14:paraId="00000013" w:rsidP="00000000" w:rsidRPr="00000000">
      <w:pPr>
        <w:numPr>
          <w:ilvl w:val="0"/>
          <w:numId w:val="1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b/>
          <w:highlight w:val="white"/>
        </w:rPr>
        <w:t>How do we define this purpose/ how should we provide evidence?:</w:t>
      </w:r>
      <w:r w:rsidR="00000000" w:rsidDel="00000000" w:rsidRPr="00000000">
        <w:rPr>
          <w:rtl w:val="0"/>
          <w:highlight w:val="white"/>
        </w:rPr>
        <w:t xml:space="preserve"> present evidence of students getting better (how can you present that?-- </w:t>
      </w:r>
      <w:r w:rsidR="00000000" w:rsidDel="00000000" w:rsidRPr="00000000">
        <w:rPr>
          <w:rtl w:val="0"/>
          <w:i/>
          <w:highlight w:val="white"/>
        </w:rPr>
        <w:t>reduction in failure rate, student work portfolio, student satisfaction surveys, state testing scores, etc</w:t>
      </w:r>
      <w:r w:rsidR="00000000" w:rsidDel="00000000" w:rsidRPr="00000000">
        <w:rPr>
          <w:rtl w:val="0"/>
          <w:highlight w:val="white"/>
        </w:rPr>
        <w:t>.) In other words, this is what success looks like (show proof)!</w:t>
      </w:r>
    </w:p>
    <w:p w:rsidR="00000000" w:rsidDel="00000000" w:rsidRDefault="00000000" w14:paraId="00000014" w:rsidP="00000000" w:rsidRPr="00000000">
      <w:pPr>
        <w:numPr>
          <w:ilvl w:val="0"/>
          <w:numId w:val="1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b/>
          <w:highlight w:val="white"/>
        </w:rPr>
        <w:t>Every school/learning community should debate their purpose and the way they provide evidence on their own. However you define it, provide evidence that your students are successfully learning or becoming successful.</w:t>
      </w:r>
    </w:p>
    <w:p w:rsidR="00000000" w:rsidDel="00000000" w:rsidRDefault="00000000" w14:paraId="00000015" w:rsidP="00000000" w:rsidRPr="00000000">
      <w:pPr>
        <w:numPr>
          <w:ilvl w:val="0"/>
          <w:numId w:val="1"/>
        </w:numPr>
        <w:ind w:left="720"/>
        <w:ind w:hanging="360"/>
        <w:rPr>
          <w:highlight w:val="white"/>
        </w:rPr>
      </w:pPr>
      <w:r w:rsidR="00000000" w:rsidDel="00000000" w:rsidRPr="00000000">
        <w:rPr>
          <w:rtl w:val="0"/>
          <w:b/>
          <w:highlight w:val="white"/>
        </w:rPr>
        <w:t xml:space="preserve">Create a Viable Curriculum: </w:t>
      </w:r>
      <w:r w:rsidR="00000000" w:rsidDel="00000000" w:rsidRPr="00000000">
        <w:rPr>
          <w:rtl w:val="0"/>
          <w:highlight w:val="white"/>
        </w:rPr>
        <w:t>elect to teach certain standards and not others. Focus on more skills and thought rather than standards. Timeline, concepts, skills, thought, critical analysis, project-based learning, etc. (prepare kids for success at next level)</w:t>
      </w:r>
    </w:p>
    <w:p w:rsidR="00000000" w:rsidDel="00000000" w:rsidRDefault="00000000" w14:paraId="00000016" w:rsidP="00000000" w:rsidRPr="00000000">
      <w:pPr>
        <w:numPr>
          <w:ilvl w:val="0"/>
          <w:numId w:val="1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b/>
          <w:highlight w:val="white"/>
        </w:rPr>
        <w:t>Collaborate on best practices:</w:t>
      </w:r>
      <w:r w:rsidR="00000000" w:rsidDel="00000000" w:rsidRPr="00000000">
        <w:rPr>
          <w:rtl w:val="0"/>
          <w:highlight w:val="white"/>
        </w:rPr>
        <w:t xml:space="preserve"> </w:t>
      </w:r>
    </w:p>
    <w:p w:rsidR="00000000" w:rsidDel="00000000" w:rsidRDefault="00000000" w14:paraId="00000017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Focus student learning on essential aspects vs. memorizing things/facts</w:t>
      </w:r>
    </w:p>
    <w:p w:rsidR="00000000" w:rsidDel="00000000" w:rsidRDefault="00000000" w14:paraId="00000018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Curriculum vs. Content standards-- overlap, by and large curriculum is tool for helping kids acquire knowledge and skills. </w:t>
      </w:r>
    </w:p>
    <w:p w:rsidR="00000000" w:rsidDel="00000000" w:rsidRDefault="00000000" w14:paraId="00000019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Don’t let textbook or state department lead--what are the outcomes? Gain better understanding of standards (endurance leverage) preparing students for success (overarching lessons) rather than “common core”</w:t>
      </w:r>
    </w:p>
    <w:p w:rsidR="00000000" w:rsidDel="00000000" w:rsidRDefault="00000000" w14:paraId="0000001A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Guaranteed curriculum= need approval by actual teachers that implement these standards. You cannot get it by implementing and handing out documents, as the state department does.</w:t>
      </w:r>
    </w:p>
    <w:p w:rsidR="00000000" w:rsidDel="00000000" w:rsidRDefault="00000000" w14:paraId="0000001B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“Narrow focus in the curriculum”</w:t>
      </w:r>
    </w:p>
    <w:p w:rsidR="00000000" w:rsidDel="00000000" w:rsidRDefault="00000000" w14:paraId="0000001C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Mission, vision, value, goals</w:t>
      </w:r>
    </w:p>
    <w:p w:rsidR="00000000" w:rsidDel="00000000" w:rsidRDefault="00000000" w14:paraId="0000001D" w:rsidP="00000000" w:rsidRPr="00000000">
      <w:pPr>
        <w:numPr>
          <w:ilvl w:val="0"/>
          <w:numId w:val="2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Need to have teacher voices and community stakeholders</w:t>
      </w:r>
    </w:p>
    <w:p w:rsidR="00000000" w:rsidDel="00000000" w:rsidRDefault="00000000" w14:paraId="0000001E" w:rsidP="00000000" w:rsidRPr="00000000">
      <w:pPr>
        <w:contextualSpacing w:val="0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contextualSpacing w:val="0"/>
        <w:rPr>
          <w:b/>
          <w:highlight w:val="white"/>
        </w:rPr>
      </w:pPr>
      <w:r w:rsidR="00000000" w:rsidDel="00000000" w:rsidRPr="00000000">
        <w:rPr>
          <w:rtl w:val="0"/>
          <w:b/>
          <w:highlight w:val="white"/>
        </w:rPr>
        <w:t xml:space="preserve">Example of PLC goals (small to large): </w:t>
      </w:r>
    </w:p>
    <w:p w:rsidR="00000000" w:rsidDel="00000000" w:rsidRDefault="00000000" w14:paraId="00000020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Constantly check for student understanding</w:t>
      </w:r>
    </w:p>
    <w:p w:rsidR="00000000" w:rsidDel="00000000" w:rsidRDefault="00000000" w14:paraId="00000021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As a team, gather evidence on if students are learning through common assessments?</w:t>
      </w:r>
    </w:p>
    <w:p w:rsidR="00000000" w:rsidDel="00000000" w:rsidRDefault="00000000" w14:paraId="00000022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Identify kids that didn’t learn</w:t>
      </w:r>
    </w:p>
    <w:p w:rsidR="00000000" w:rsidDel="00000000" w:rsidRDefault="00000000" w14:paraId="00000023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The reason to develop teams is to improve and inform professional practice </w:t>
      </w:r>
    </w:p>
    <w:p w:rsidR="00000000" w:rsidDel="00000000" w:rsidRDefault="00000000" w14:paraId="00000024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 xml:space="preserve">At the end of every common assessment find one area where a student/member excelled. </w:t>
      </w:r>
    </w:p>
    <w:p w:rsidR="00000000" w:rsidDel="00000000" w:rsidRDefault="00000000" w14:paraId="00000025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What were the strategies? Can we all use that? Look at strengths.</w:t>
      </w:r>
    </w:p>
    <w:p w:rsidR="00000000" w:rsidDel="00000000" w:rsidRDefault="00000000" w14:paraId="00000026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Discover through evaluations and student performance</w:t>
      </w:r>
    </w:p>
    <w:p w:rsidR="00000000" w:rsidDel="00000000" w:rsidRDefault="00000000" w14:paraId="00000027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Use effective instructional tools to make a better learning community.</w:t>
      </w:r>
    </w:p>
    <w:p w:rsidR="00000000" w:rsidDel="00000000" w:rsidRDefault="00000000" w14:paraId="00000028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Teams must first admit, then address lack of skills, resources, or proper instructional strategies/tools individually</w:t>
      </w:r>
    </w:p>
    <w:p w:rsidR="00000000" w:rsidDel="00000000" w:rsidRDefault="00000000" w14:paraId="00000029" w:rsidP="00000000" w:rsidRPr="00000000">
      <w:pPr>
        <w:numPr>
          <w:ilvl w:val="0"/>
          <w:numId w:val="4"/>
        </w:numPr>
        <w:ind w:left="720"/>
        <w:ind w:hanging="360"/>
        <w:rPr>
          <w:u w:val="none"/>
          <w:highlight w:val="white"/>
        </w:rPr>
      </w:pPr>
      <w:r w:rsidR="00000000" w:rsidDel="00000000" w:rsidRPr="00000000">
        <w:rPr>
          <w:rtl w:val="0"/>
          <w:highlight w:val="white"/>
        </w:rPr>
        <w:t>To address this the entire team must collaborate via internet with other professionals, do professional development, collaborate with another team in the building, and/or seek resources and ideas</w:t>
      </w: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contextualSpacing w:val="0"/>
        <w:rPr>
          <w:b/>
          <w:i/>
          <w:u w:val="single"/>
          <w:color w:val="A61C0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>
        <w:contextualSpacing w:val="0"/>
        <w:rPr>
          <w:b/>
          <w:i/>
          <w:u w:val="single"/>
        </w:rPr>
      </w:pPr>
      <w:r w:rsidR="00000000" w:rsidDel="00000000" w:rsidRPr="00000000">
        <w:rPr>
          <w:rtl w:val="0"/>
          <w:b/>
          <w:i/>
          <w:u w:val="single"/>
        </w:rPr>
        <w:t>Richard Dufour states, “Unless you are using actual evidence of student learning to inform and improve practice then you are not yet a professional learning community.”</w:t>
      </w:r>
    </w:p>
    <w:p w:rsidR="00000000" w:rsidDel="00000000" w:rsidRDefault="00000000" w14:paraId="0000002C" w:rsidP="00000000" w:rsidRPr="00000000">
      <w:pPr>
        <w:contextualSpacing w:val="0"/>
        <w:rPr>
          <w:b/>
        </w:rPr>
      </w:pPr>
      <w:r w:rsidR="00000000" w:rsidDel="00000000" w:rsidRPr="00000000">
        <w:rPr>
          <w:rtl w:val="0"/>
        </w:rPr>
      </w:r>
    </w:p>
    <w:sectPr>
      <w:pgNumType w:start="1"/>
      <w:pgSz w:w="12240" w:h="15840"/>
      <w:pgMar w:left="1440" w:right="1440" w:top="1440" w:bottom="1440" w:header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Verdana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2">
    <w:multiLevelType w:val="hybridMultilevel"/>
    <w:lvl w:ilvl="0">
      <w:numFmt w:val="bullet"/>
      <w:lvlText w:val="★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3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4">
    <w:multiLevelType w:val="hybridMultilevel"/>
    <w:lvl w:ilvl="0">
      <w:numFmt w:val="bullet"/>
      <w:lvlText w:val="➢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